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2122" w14:textId="77777777" w:rsidR="00E243BD" w:rsidRPr="008D544B" w:rsidRDefault="00E243BD" w:rsidP="0099421D">
      <w:pPr>
        <w:rPr>
          <w:b/>
          <w:bCs/>
        </w:rPr>
      </w:pPr>
      <w:r w:rsidRPr="008D544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45E1C0" wp14:editId="43F27E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73450" cy="759701"/>
            <wp:effectExtent l="0" t="0" r="0" b="2540"/>
            <wp:wrapTight wrapText="bothSides">
              <wp:wrapPolygon edited="0">
                <wp:start x="2132" y="0"/>
                <wp:lineTo x="1303" y="1084"/>
                <wp:lineTo x="0" y="6502"/>
                <wp:lineTo x="0" y="11920"/>
                <wp:lineTo x="474" y="17880"/>
                <wp:lineTo x="1895" y="21130"/>
                <wp:lineTo x="2843" y="21130"/>
                <wp:lineTo x="4146" y="18421"/>
                <wp:lineTo x="17770" y="17880"/>
                <wp:lineTo x="21442" y="16254"/>
                <wp:lineTo x="21442" y="4876"/>
                <wp:lineTo x="20376" y="4876"/>
                <wp:lineTo x="2725" y="0"/>
                <wp:lineTo x="2132" y="0"/>
              </wp:wrapPolygon>
            </wp:wrapTight>
            <wp:docPr id="1" name="Picture 1" descr="Home - 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7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FDEB4" w14:textId="77777777" w:rsidR="00E243BD" w:rsidRPr="008D544B" w:rsidRDefault="00E243BD" w:rsidP="0099421D">
      <w:pPr>
        <w:rPr>
          <w:b/>
          <w:bCs/>
        </w:rPr>
      </w:pPr>
    </w:p>
    <w:p w14:paraId="4B6F98ED" w14:textId="77777777" w:rsidR="00E243BD" w:rsidRPr="008D544B" w:rsidRDefault="00E243BD" w:rsidP="0099421D">
      <w:pPr>
        <w:rPr>
          <w:b/>
          <w:bCs/>
        </w:rPr>
      </w:pPr>
    </w:p>
    <w:p w14:paraId="134A878E" w14:textId="77777777" w:rsidR="008D1945" w:rsidRPr="008D544B" w:rsidRDefault="0099421D" w:rsidP="008D1945">
      <w:pPr>
        <w:jc w:val="center"/>
        <w:rPr>
          <w:b/>
          <w:bCs/>
          <w:sz w:val="36"/>
          <w:szCs w:val="36"/>
        </w:rPr>
      </w:pPr>
      <w:r w:rsidRPr="008D544B">
        <w:rPr>
          <w:b/>
          <w:bCs/>
          <w:sz w:val="36"/>
          <w:szCs w:val="36"/>
        </w:rPr>
        <w:t>#SERAconnects</w:t>
      </w:r>
    </w:p>
    <w:p w14:paraId="2D3F02B1" w14:textId="77777777" w:rsidR="009A0138" w:rsidRPr="008D544B" w:rsidRDefault="009A0138" w:rsidP="0099421D">
      <w:pPr>
        <w:pStyle w:val="NormalWeb"/>
        <w:spacing w:after="160" w:line="254" w:lineRule="auto"/>
        <w:rPr>
          <w:b/>
          <w:bCs/>
          <w:color w:val="000000"/>
          <w:sz w:val="16"/>
          <w:szCs w:val="16"/>
        </w:rPr>
      </w:pPr>
    </w:p>
    <w:p w14:paraId="65570B4D" w14:textId="77777777" w:rsidR="008D1945" w:rsidRPr="008D544B" w:rsidRDefault="008D68EB" w:rsidP="0099421D">
      <w:pPr>
        <w:pStyle w:val="NormalWeb"/>
        <w:spacing w:after="160" w:line="254" w:lineRule="auto"/>
        <w:rPr>
          <w:b/>
          <w:bCs/>
          <w:color w:val="000000"/>
          <w:sz w:val="24"/>
          <w:szCs w:val="24"/>
        </w:rPr>
      </w:pPr>
      <w:r w:rsidRPr="008D544B">
        <w:rPr>
          <w:b/>
          <w:bCs/>
          <w:color w:val="000000"/>
          <w:sz w:val="24"/>
          <w:szCs w:val="24"/>
        </w:rPr>
        <w:t xml:space="preserve">Title: </w:t>
      </w:r>
      <w:r w:rsidR="0014285A" w:rsidRPr="008D544B">
        <w:rPr>
          <w:b/>
          <w:bCs/>
          <w:color w:val="000000"/>
          <w:sz w:val="24"/>
          <w:szCs w:val="24"/>
        </w:rPr>
        <w:t>Pedagogy in practice –</w:t>
      </w:r>
      <w:r w:rsidR="00C34CD9" w:rsidRPr="008D544B">
        <w:rPr>
          <w:b/>
          <w:bCs/>
          <w:color w:val="000000"/>
          <w:sz w:val="24"/>
          <w:szCs w:val="24"/>
        </w:rPr>
        <w:t xml:space="preserve"> Attitudes and</w:t>
      </w:r>
      <w:r w:rsidR="0014285A" w:rsidRPr="008D544B">
        <w:rPr>
          <w:b/>
          <w:bCs/>
          <w:color w:val="000000"/>
          <w:sz w:val="24"/>
          <w:szCs w:val="24"/>
        </w:rPr>
        <w:t xml:space="preserve"> understanding in data</w:t>
      </w:r>
      <w:r w:rsidR="00C34CD9" w:rsidRPr="008D544B">
        <w:rPr>
          <w:b/>
          <w:bCs/>
          <w:color w:val="000000"/>
          <w:sz w:val="24"/>
          <w:szCs w:val="24"/>
        </w:rPr>
        <w:t xml:space="preserve">-informed </w:t>
      </w:r>
      <w:r w:rsidR="00D8089C" w:rsidRPr="008D544B">
        <w:rPr>
          <w:b/>
          <w:bCs/>
          <w:color w:val="000000"/>
          <w:sz w:val="24"/>
          <w:szCs w:val="24"/>
        </w:rPr>
        <w:t>decision-making</w:t>
      </w:r>
      <w:r w:rsidR="00C34CD9" w:rsidRPr="008D544B">
        <w:rPr>
          <w:b/>
          <w:bCs/>
          <w:color w:val="000000"/>
          <w:sz w:val="24"/>
          <w:szCs w:val="24"/>
        </w:rPr>
        <w:t>.</w:t>
      </w:r>
    </w:p>
    <w:p w14:paraId="5759825B" w14:textId="77777777" w:rsidR="0099421D" w:rsidRPr="008D544B" w:rsidRDefault="0099421D" w:rsidP="0099421D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8D544B">
        <w:rPr>
          <w:b/>
          <w:bCs/>
          <w:color w:val="000000"/>
          <w:sz w:val="24"/>
          <w:szCs w:val="24"/>
        </w:rPr>
        <w:t>Date:</w:t>
      </w:r>
      <w:r w:rsidRPr="008D544B">
        <w:rPr>
          <w:color w:val="000000"/>
          <w:sz w:val="24"/>
          <w:szCs w:val="24"/>
        </w:rPr>
        <w:t xml:space="preserve"> </w:t>
      </w:r>
      <w:r w:rsidR="00141836" w:rsidRPr="008D544B">
        <w:rPr>
          <w:color w:val="000000"/>
          <w:sz w:val="24"/>
          <w:szCs w:val="24"/>
        </w:rPr>
        <w:t>25</w:t>
      </w:r>
      <w:r w:rsidR="00141836" w:rsidRPr="008D544B">
        <w:rPr>
          <w:color w:val="000000"/>
          <w:sz w:val="24"/>
          <w:szCs w:val="24"/>
          <w:vertAlign w:val="superscript"/>
        </w:rPr>
        <w:t>th</w:t>
      </w:r>
      <w:r w:rsidR="00141836" w:rsidRPr="008D544B">
        <w:rPr>
          <w:color w:val="000000"/>
          <w:sz w:val="24"/>
          <w:szCs w:val="24"/>
        </w:rPr>
        <w:t xml:space="preserve"> March</w:t>
      </w:r>
    </w:p>
    <w:p w14:paraId="1FEAC0CA" w14:textId="77777777" w:rsidR="0099421D" w:rsidRPr="008D544B" w:rsidRDefault="0099421D" w:rsidP="0099421D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8D544B">
        <w:rPr>
          <w:b/>
          <w:bCs/>
          <w:color w:val="000000"/>
          <w:sz w:val="24"/>
          <w:szCs w:val="24"/>
        </w:rPr>
        <w:t>Time</w:t>
      </w:r>
      <w:r w:rsidRPr="008D544B">
        <w:rPr>
          <w:color w:val="000000"/>
          <w:sz w:val="24"/>
          <w:szCs w:val="24"/>
        </w:rPr>
        <w:t xml:space="preserve">: </w:t>
      </w:r>
      <w:r w:rsidR="00141836" w:rsidRPr="008D544B">
        <w:rPr>
          <w:color w:val="000000"/>
          <w:sz w:val="24"/>
          <w:szCs w:val="24"/>
        </w:rPr>
        <w:t>1630 - 1730</w:t>
      </w:r>
    </w:p>
    <w:p w14:paraId="0BF2D629" w14:textId="77777777" w:rsidR="0099421D" w:rsidRPr="008D544B" w:rsidRDefault="0099421D" w:rsidP="0099421D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8D544B">
        <w:rPr>
          <w:b/>
          <w:bCs/>
          <w:color w:val="000000"/>
          <w:sz w:val="24"/>
          <w:szCs w:val="24"/>
        </w:rPr>
        <w:t>Location</w:t>
      </w:r>
      <w:r w:rsidRPr="008D544B">
        <w:rPr>
          <w:color w:val="000000"/>
          <w:sz w:val="24"/>
          <w:szCs w:val="24"/>
        </w:rPr>
        <w:t xml:space="preserve">: </w:t>
      </w:r>
      <w:r w:rsidR="00141836" w:rsidRPr="008D544B">
        <w:rPr>
          <w:color w:val="000000"/>
          <w:sz w:val="24"/>
          <w:szCs w:val="24"/>
        </w:rPr>
        <w:t>Online Zoom seminar</w:t>
      </w:r>
    </w:p>
    <w:p w14:paraId="7E0E8F06" w14:textId="77777777" w:rsidR="0099421D" w:rsidRPr="008D544B" w:rsidRDefault="0099421D" w:rsidP="0099421D">
      <w:pPr>
        <w:pStyle w:val="NormalWeb"/>
        <w:spacing w:after="160" w:line="254" w:lineRule="auto"/>
        <w:rPr>
          <w:bCs/>
          <w:color w:val="000000"/>
          <w:sz w:val="24"/>
          <w:szCs w:val="24"/>
        </w:rPr>
      </w:pPr>
      <w:r w:rsidRPr="008D544B">
        <w:rPr>
          <w:b/>
          <w:bCs/>
          <w:color w:val="000000"/>
          <w:sz w:val="24"/>
          <w:szCs w:val="24"/>
        </w:rPr>
        <w:t xml:space="preserve">Organisers: </w:t>
      </w:r>
      <w:r w:rsidR="009A0138" w:rsidRPr="008D544B">
        <w:rPr>
          <w:b/>
          <w:bCs/>
          <w:color w:val="000000"/>
          <w:sz w:val="24"/>
          <w:szCs w:val="24"/>
        </w:rPr>
        <w:t xml:space="preserve"> </w:t>
      </w:r>
      <w:r w:rsidR="009A0138" w:rsidRPr="008D544B">
        <w:rPr>
          <w:bCs/>
          <w:color w:val="000000"/>
          <w:sz w:val="24"/>
          <w:szCs w:val="24"/>
        </w:rPr>
        <w:t>Scottish Council of Deans of Education</w:t>
      </w:r>
      <w:r w:rsidR="009A0138" w:rsidRPr="008D544B">
        <w:rPr>
          <w:b/>
          <w:bCs/>
          <w:color w:val="000000"/>
          <w:sz w:val="24"/>
          <w:szCs w:val="24"/>
        </w:rPr>
        <w:t xml:space="preserve"> </w:t>
      </w:r>
      <w:r w:rsidR="00141836" w:rsidRPr="008D544B">
        <w:rPr>
          <w:bCs/>
          <w:color w:val="000000"/>
          <w:sz w:val="24"/>
          <w:szCs w:val="24"/>
        </w:rPr>
        <w:t>Scottish Attainment Challenge Project</w:t>
      </w:r>
    </w:p>
    <w:p w14:paraId="0F91D8DC" w14:textId="77777777" w:rsidR="00076949" w:rsidRPr="008D544B" w:rsidRDefault="00141836" w:rsidP="0099421D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8D544B">
        <w:rPr>
          <w:b/>
          <w:bCs/>
          <w:color w:val="000000"/>
          <w:sz w:val="24"/>
          <w:szCs w:val="24"/>
        </w:rPr>
        <w:t>Speakers:</w:t>
      </w:r>
      <w:r w:rsidR="00076949" w:rsidRPr="008D544B">
        <w:rPr>
          <w:color w:val="000000"/>
          <w:sz w:val="24"/>
          <w:szCs w:val="24"/>
        </w:rPr>
        <w:t xml:space="preserve"> </w:t>
      </w:r>
      <w:r w:rsidR="00E44E88" w:rsidRPr="008D544B">
        <w:rPr>
          <w:color w:val="000000"/>
          <w:sz w:val="24"/>
          <w:szCs w:val="24"/>
        </w:rPr>
        <w:t>Dr Stephen Day</w:t>
      </w:r>
      <w:r w:rsidR="005436A0" w:rsidRPr="008D544B">
        <w:rPr>
          <w:color w:val="000000"/>
          <w:sz w:val="24"/>
          <w:szCs w:val="24"/>
        </w:rPr>
        <w:t>, University of the West of Scotland</w:t>
      </w:r>
      <w:r w:rsidR="006809E2" w:rsidRPr="008D544B">
        <w:rPr>
          <w:color w:val="000000"/>
          <w:sz w:val="24"/>
          <w:szCs w:val="24"/>
        </w:rPr>
        <w:t>;</w:t>
      </w:r>
      <w:r w:rsidR="00E44E88" w:rsidRPr="008D544B">
        <w:rPr>
          <w:color w:val="000000"/>
          <w:sz w:val="24"/>
          <w:szCs w:val="24"/>
        </w:rPr>
        <w:t xml:space="preserve"> </w:t>
      </w:r>
      <w:r w:rsidR="005436A0" w:rsidRPr="008D544B">
        <w:rPr>
          <w:color w:val="000000"/>
          <w:sz w:val="24"/>
          <w:szCs w:val="24"/>
        </w:rPr>
        <w:t>Professor</w:t>
      </w:r>
      <w:r w:rsidR="005436A0" w:rsidRPr="008D544B">
        <w:rPr>
          <w:b/>
          <w:bCs/>
          <w:color w:val="000000"/>
          <w:sz w:val="24"/>
          <w:szCs w:val="24"/>
        </w:rPr>
        <w:t xml:space="preserve"> </w:t>
      </w:r>
      <w:r w:rsidR="005436A0" w:rsidRPr="008D544B">
        <w:rPr>
          <w:color w:val="000000"/>
          <w:sz w:val="24"/>
          <w:szCs w:val="24"/>
        </w:rPr>
        <w:t xml:space="preserve">Jim Scott and Derek Robertson, University of Dundee; Mark Lindley-Highfield, </w:t>
      </w:r>
      <w:r w:rsidR="00E44E88" w:rsidRPr="008D544B">
        <w:rPr>
          <w:color w:val="000000"/>
          <w:sz w:val="24"/>
          <w:szCs w:val="24"/>
        </w:rPr>
        <w:t>University of the Highlands and Islands</w:t>
      </w:r>
      <w:r w:rsidR="00076949" w:rsidRPr="008D544B">
        <w:rPr>
          <w:color w:val="000000"/>
          <w:sz w:val="24"/>
          <w:szCs w:val="24"/>
        </w:rPr>
        <w:t xml:space="preserve"> </w:t>
      </w:r>
    </w:p>
    <w:p w14:paraId="6939372D" w14:textId="77777777" w:rsidR="0099421D" w:rsidRPr="008D544B" w:rsidRDefault="0099421D" w:rsidP="00526C55">
      <w:pPr>
        <w:pStyle w:val="NormalWeb"/>
        <w:spacing w:after="160" w:line="254" w:lineRule="auto"/>
        <w:rPr>
          <w:color w:val="000000"/>
          <w:sz w:val="24"/>
          <w:szCs w:val="24"/>
        </w:rPr>
      </w:pPr>
      <w:r w:rsidRPr="008D544B">
        <w:rPr>
          <w:b/>
          <w:bCs/>
          <w:color w:val="000000"/>
          <w:sz w:val="24"/>
          <w:szCs w:val="24"/>
        </w:rPr>
        <w:t xml:space="preserve">Who is this online seminar for: </w:t>
      </w:r>
      <w:r w:rsidR="00D43D4C" w:rsidRPr="008D544B">
        <w:rPr>
          <w:b/>
          <w:bCs/>
          <w:color w:val="000000"/>
          <w:sz w:val="24"/>
          <w:szCs w:val="24"/>
        </w:rPr>
        <w:t xml:space="preserve"> </w:t>
      </w:r>
      <w:r w:rsidR="00D43D4C" w:rsidRPr="008D544B">
        <w:rPr>
          <w:bCs/>
          <w:color w:val="000000"/>
          <w:sz w:val="24"/>
          <w:szCs w:val="24"/>
        </w:rPr>
        <w:t xml:space="preserve">Teachers, school leaders, local authority staff, teacher educators, researchers and </w:t>
      </w:r>
      <w:proofErr w:type="gramStart"/>
      <w:r w:rsidR="00D43D4C" w:rsidRPr="008D544B">
        <w:rPr>
          <w:bCs/>
          <w:color w:val="000000"/>
          <w:sz w:val="24"/>
          <w:szCs w:val="24"/>
        </w:rPr>
        <w:t>policy-makers</w:t>
      </w:r>
      <w:proofErr w:type="gramEnd"/>
    </w:p>
    <w:p w14:paraId="5306AF95" w14:textId="77777777" w:rsidR="0099421D" w:rsidRPr="008D544B" w:rsidRDefault="0099421D" w:rsidP="0099421D">
      <w:pPr>
        <w:rPr>
          <w:b/>
          <w:bCs/>
          <w:sz w:val="24"/>
          <w:szCs w:val="24"/>
        </w:rPr>
      </w:pPr>
      <w:r w:rsidRPr="008D544B">
        <w:rPr>
          <w:b/>
          <w:bCs/>
          <w:sz w:val="24"/>
          <w:szCs w:val="24"/>
        </w:rPr>
        <w:t>Seminar Overview</w:t>
      </w:r>
    </w:p>
    <w:p w14:paraId="428AD918" w14:textId="77777777" w:rsidR="0014285A" w:rsidRPr="008D544B" w:rsidRDefault="00076949" w:rsidP="0014285A">
      <w:r w:rsidRPr="008D544B">
        <w:t>This Seminar</w:t>
      </w:r>
      <w:r w:rsidR="0014285A" w:rsidRPr="008D544B">
        <w:t xml:space="preserve"> is the first in a series drawing on the work of the Scottish Council of Deans of Education Scottish Attainment Challenge Project. </w:t>
      </w:r>
      <w:hyperlink r:id="rId9" w:history="1">
        <w:r w:rsidR="0014285A" w:rsidRPr="008D544B">
          <w:rPr>
            <w:rStyle w:val="Hyperlink"/>
          </w:rPr>
          <w:t>https://www.scde.ac.uk/projects/scde-attainment-challenge-project/</w:t>
        </w:r>
      </w:hyperlink>
      <w:r w:rsidR="0014285A" w:rsidRPr="008D544B">
        <w:t xml:space="preserve"> </w:t>
      </w:r>
      <w:r w:rsidR="006809E2" w:rsidRPr="008D544B">
        <w:t xml:space="preserve"> </w:t>
      </w:r>
      <w:r w:rsidR="00D43D4C" w:rsidRPr="008D544B">
        <w:t>The p</w:t>
      </w:r>
      <w:r w:rsidR="0014285A" w:rsidRPr="008D544B">
        <w:t>roject, which involves eight universities across Scotland, is exploring the effective prepar</w:t>
      </w:r>
      <w:r w:rsidR="00D43D4C" w:rsidRPr="008D544B">
        <w:t xml:space="preserve">ation of early career teachers </w:t>
      </w:r>
      <w:r w:rsidR="0014285A" w:rsidRPr="008D544B">
        <w:t xml:space="preserve">to work in schools serving </w:t>
      </w:r>
      <w:r w:rsidR="00D43D4C" w:rsidRPr="008D544B">
        <w:t>communities</w:t>
      </w:r>
      <w:r w:rsidR="0014285A" w:rsidRPr="008D544B">
        <w:t xml:space="preserve"> of </w:t>
      </w:r>
      <w:r w:rsidR="0043692A" w:rsidRPr="008D544B">
        <w:t>high multiple deprivation. The s</w:t>
      </w:r>
      <w:r w:rsidR="0014285A" w:rsidRPr="008D544B">
        <w:t>em</w:t>
      </w:r>
      <w:r w:rsidR="00D43D4C" w:rsidRPr="008D544B">
        <w:t>inar series aims to engage with a wide audience</w:t>
      </w:r>
      <w:r w:rsidR="0014285A" w:rsidRPr="008D544B">
        <w:t xml:space="preserve"> on five focus areas emerging from this work:</w:t>
      </w:r>
    </w:p>
    <w:p w14:paraId="63B7521F" w14:textId="77777777" w:rsidR="0014285A" w:rsidRPr="008D544B" w:rsidRDefault="0014285A" w:rsidP="0014285A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8D544B">
        <w:t xml:space="preserve">Pedagogy in Practice - becoming a teacher </w:t>
      </w:r>
    </w:p>
    <w:p w14:paraId="0AD65864" w14:textId="77777777" w:rsidR="0014285A" w:rsidRPr="008D544B" w:rsidRDefault="0014285A" w:rsidP="0014285A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8D544B">
        <w:t>Flourishing and Belonging – an ethic of care</w:t>
      </w:r>
    </w:p>
    <w:p w14:paraId="5C09A1BC" w14:textId="77777777" w:rsidR="0014285A" w:rsidRPr="008D544B" w:rsidRDefault="0014285A" w:rsidP="0014285A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8D544B">
        <w:t>Reframing Schooling – in and of the world</w:t>
      </w:r>
    </w:p>
    <w:p w14:paraId="788E85FB" w14:textId="77777777" w:rsidR="0014285A" w:rsidRPr="008D544B" w:rsidRDefault="0014285A" w:rsidP="0014285A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8D544B">
        <w:t>Social Justice – agency and respect</w:t>
      </w:r>
    </w:p>
    <w:p w14:paraId="0EB6E27A" w14:textId="77777777" w:rsidR="0014285A" w:rsidRPr="008D544B" w:rsidRDefault="0014285A" w:rsidP="0014285A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8D544B">
        <w:t>Theory, policy, experience – creating professional space</w:t>
      </w:r>
    </w:p>
    <w:p w14:paraId="191B1234" w14:textId="5F90BA55" w:rsidR="00D43D4C" w:rsidRPr="008D544B" w:rsidRDefault="00076949" w:rsidP="65ACB057">
      <w:r w:rsidRPr="008D544B">
        <w:t xml:space="preserve"> </w:t>
      </w:r>
      <w:r w:rsidR="00C34CD9" w:rsidRPr="008D544B">
        <w:t>This first Seminar</w:t>
      </w:r>
      <w:r w:rsidR="00FB7A1D" w:rsidRPr="008D544B">
        <w:t xml:space="preserve"> </w:t>
      </w:r>
      <w:r w:rsidR="000E2AFF" w:rsidRPr="008D544B">
        <w:t>addresses</w:t>
      </w:r>
      <w:r w:rsidR="00D8089C" w:rsidRPr="008D544B">
        <w:t xml:space="preserve"> the focus</w:t>
      </w:r>
      <w:r w:rsidRPr="008D544B">
        <w:t xml:space="preserve">, under the National Improvement Framework, </w:t>
      </w:r>
      <w:r w:rsidR="00D8089C" w:rsidRPr="008D544B">
        <w:t>on</w:t>
      </w:r>
      <w:r w:rsidRPr="008D544B">
        <w:t xml:space="preserve"> early career teachers </w:t>
      </w:r>
      <w:r w:rsidR="00D8089C" w:rsidRPr="008D544B">
        <w:t>using</w:t>
      </w:r>
      <w:r w:rsidRPr="008D544B">
        <w:t xml:space="preserve"> data to inform their </w:t>
      </w:r>
      <w:r w:rsidR="000E2AFF" w:rsidRPr="008D544B">
        <w:t xml:space="preserve">equity-related </w:t>
      </w:r>
      <w:r w:rsidRPr="008D544B">
        <w:t>practice. Barriers to doing this succe</w:t>
      </w:r>
      <w:r w:rsidR="00D43D4C" w:rsidRPr="008D544B">
        <w:t xml:space="preserve">ssfully - relating to attitudes and understanding </w:t>
      </w:r>
      <w:r w:rsidR="006809E2" w:rsidRPr="008D544B">
        <w:t>– appear</w:t>
      </w:r>
      <w:r w:rsidRPr="008D544B">
        <w:t xml:space="preserve"> mirrored by indications of reluctance among early career teachers to embark on numeracy-related interventions, even where their own in-class research highlights this as a</w:t>
      </w:r>
      <w:r w:rsidR="000E2AFF" w:rsidRPr="008D544B">
        <w:t>n</w:t>
      </w:r>
      <w:r w:rsidRPr="008D544B">
        <w:t xml:space="preserve"> issue. </w:t>
      </w:r>
      <w:r w:rsidR="00DB7F2A" w:rsidRPr="008D544B">
        <w:t xml:space="preserve">Variations in early career teachers’ access </w:t>
      </w:r>
      <w:r w:rsidR="00D43D4C" w:rsidRPr="008D544B">
        <w:t>to data and their agency in developing alternative means of tracking progress are also discussed.</w:t>
      </w:r>
    </w:p>
    <w:p w14:paraId="3E960AFD" w14:textId="77777777" w:rsidR="001F66EE" w:rsidRPr="008D544B" w:rsidRDefault="00FB7A1D" w:rsidP="001F66EE">
      <w:pPr>
        <w:rPr>
          <w:i/>
        </w:rPr>
      </w:pPr>
      <w:r w:rsidRPr="008D544B">
        <w:t xml:space="preserve">This </w:t>
      </w:r>
      <w:r w:rsidR="006809E2" w:rsidRPr="008D544B">
        <w:t>relates to</w:t>
      </w:r>
      <w:r w:rsidRPr="008D544B">
        <w:t xml:space="preserve"> the </w:t>
      </w:r>
      <w:r w:rsidR="001F66EE" w:rsidRPr="008D544B">
        <w:t xml:space="preserve">project’s </w:t>
      </w:r>
      <w:r w:rsidRPr="008D544B">
        <w:t xml:space="preserve">first </w:t>
      </w:r>
      <w:r w:rsidR="001F66EE" w:rsidRPr="008D544B">
        <w:t xml:space="preserve">focus </w:t>
      </w:r>
      <w:r w:rsidRPr="008D544B">
        <w:t>area, Pedagogy in Practice</w:t>
      </w:r>
      <w:r w:rsidR="001F66EE" w:rsidRPr="008D544B">
        <w:t>,</w:t>
      </w:r>
      <w:r w:rsidRPr="008D544B">
        <w:t xml:space="preserve"> which</w:t>
      </w:r>
      <w:r w:rsidR="001F66EE" w:rsidRPr="008D544B">
        <w:t xml:space="preserve"> considers how students and early career teachers can be best supported to bring equity-related theoretical, social and cultural knowledge to bear on their everyday teaching practice</w:t>
      </w:r>
      <w:r w:rsidR="009A0138" w:rsidRPr="008D544B">
        <w:t xml:space="preserve"> in schools</w:t>
      </w:r>
      <w:r w:rsidR="001F66EE" w:rsidRPr="008D544B">
        <w:t>.</w:t>
      </w:r>
    </w:p>
    <w:p w14:paraId="1D306B4C" w14:textId="77777777" w:rsidR="00FB7A1D" w:rsidRPr="008D544B" w:rsidRDefault="009A0138" w:rsidP="65ACB057">
      <w:r w:rsidRPr="008D544B">
        <w:t>The seminar will open out to discussion with attendees after three short inputs from the presenters.</w:t>
      </w:r>
    </w:p>
    <w:p w14:paraId="6590FEDA" w14:textId="77777777" w:rsidR="00493D4E" w:rsidRPr="008D544B" w:rsidRDefault="00DB7F2A" w:rsidP="65ACB057">
      <w:pPr>
        <w:rPr>
          <w:b/>
          <w:bCs/>
          <w:color w:val="000000"/>
          <w:sz w:val="24"/>
          <w:szCs w:val="24"/>
        </w:rPr>
      </w:pPr>
      <w:r w:rsidRPr="008D544B">
        <w:t xml:space="preserve"> </w:t>
      </w:r>
    </w:p>
    <w:p w14:paraId="068DCC89" w14:textId="67EDF2B1" w:rsidR="00061B14" w:rsidRPr="00493D4E" w:rsidRDefault="0099421D" w:rsidP="00061B14">
      <w:pPr>
        <w:rPr>
          <w:rFonts w:eastAsia="Times New Roman"/>
          <w:b/>
          <w:color w:val="000000"/>
          <w:sz w:val="24"/>
          <w:szCs w:val="24"/>
        </w:rPr>
      </w:pPr>
      <w:r w:rsidRPr="008D544B">
        <w:rPr>
          <w:b/>
          <w:color w:val="000000"/>
          <w:sz w:val="24"/>
          <w:szCs w:val="24"/>
        </w:rPr>
        <w:t>To register for the event please use the Eventbrite link</w:t>
      </w:r>
      <w:r w:rsidR="008D1945" w:rsidRPr="008D544B">
        <w:rPr>
          <w:b/>
          <w:color w:val="000000"/>
          <w:sz w:val="24"/>
          <w:szCs w:val="24"/>
        </w:rPr>
        <w:t>:</w:t>
      </w:r>
      <w:r w:rsidR="008D1945" w:rsidRPr="00493D4E">
        <w:rPr>
          <w:b/>
          <w:color w:val="000000"/>
          <w:sz w:val="24"/>
          <w:szCs w:val="24"/>
        </w:rPr>
        <w:t xml:space="preserve"> </w:t>
      </w:r>
      <w:hyperlink r:id="rId10" w:history="1">
        <w:r w:rsidR="00152C06">
          <w:rPr>
            <w:rStyle w:val="Hyperlink"/>
            <w:rFonts w:ascii="Calibri" w:eastAsia="Times New Roman" w:hAnsi="Calibri" w:cs="Calibri"/>
          </w:rPr>
          <w:t>https://www.eventbrite.co.uk/e/attitudes-and-understanding-in-data-informed-decision-making-tickets-145287792699</w:t>
        </w:r>
      </w:hyperlink>
    </w:p>
    <w:p w14:paraId="08EC675C" w14:textId="77777777" w:rsidR="0099421D" w:rsidRDefault="0099421D"/>
    <w:sectPr w:rsidR="0099421D" w:rsidSect="006809E2">
      <w:pgSz w:w="11906" w:h="16838"/>
      <w:pgMar w:top="731" w:right="1134" w:bottom="731" w:left="1134" w:header="708" w:footer="708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2F2D"/>
    <w:multiLevelType w:val="hybridMultilevel"/>
    <w:tmpl w:val="197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F7460"/>
    <w:multiLevelType w:val="hybridMultilevel"/>
    <w:tmpl w:val="C2FA9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D"/>
    <w:rsid w:val="00017374"/>
    <w:rsid w:val="00020397"/>
    <w:rsid w:val="00061B14"/>
    <w:rsid w:val="00076949"/>
    <w:rsid w:val="000E2AFF"/>
    <w:rsid w:val="00141836"/>
    <w:rsid w:val="0014285A"/>
    <w:rsid w:val="00152C06"/>
    <w:rsid w:val="001F66EE"/>
    <w:rsid w:val="003B2004"/>
    <w:rsid w:val="0043692A"/>
    <w:rsid w:val="00493D4E"/>
    <w:rsid w:val="00526C55"/>
    <w:rsid w:val="005436A0"/>
    <w:rsid w:val="005B364C"/>
    <w:rsid w:val="006809E2"/>
    <w:rsid w:val="00731815"/>
    <w:rsid w:val="007D5F0A"/>
    <w:rsid w:val="0081766F"/>
    <w:rsid w:val="00874012"/>
    <w:rsid w:val="00887D9B"/>
    <w:rsid w:val="008D1945"/>
    <w:rsid w:val="008D544B"/>
    <w:rsid w:val="008D68EB"/>
    <w:rsid w:val="008F07E1"/>
    <w:rsid w:val="009045DA"/>
    <w:rsid w:val="0099421D"/>
    <w:rsid w:val="009A0138"/>
    <w:rsid w:val="009A6719"/>
    <w:rsid w:val="00BA55D7"/>
    <w:rsid w:val="00C34CD9"/>
    <w:rsid w:val="00C748CE"/>
    <w:rsid w:val="00CE0A6C"/>
    <w:rsid w:val="00D41CB2"/>
    <w:rsid w:val="00D43D4C"/>
    <w:rsid w:val="00D8089C"/>
    <w:rsid w:val="00DB7F2A"/>
    <w:rsid w:val="00DC16A8"/>
    <w:rsid w:val="00E243BD"/>
    <w:rsid w:val="00E44E88"/>
    <w:rsid w:val="00F1309F"/>
    <w:rsid w:val="00F2446E"/>
    <w:rsid w:val="00FB7A1D"/>
    <w:rsid w:val="03BFB9BF"/>
    <w:rsid w:val="2FC405B3"/>
    <w:rsid w:val="3A42952A"/>
    <w:rsid w:val="3BA6F955"/>
    <w:rsid w:val="65ACB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C278"/>
  <w15:docId w15:val="{09B2B082-94E2-4B17-8AE6-481810C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21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9421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61B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ventbrite.co.uk/e/attitudes-and-understanding-in-data-informed-decision-making-tickets-14528779269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de.ac.uk/projects/scde-attainment-challenge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D42D238D3154481F750836DC1606E" ma:contentTypeVersion="13" ma:contentTypeDescription="Create a new document." ma:contentTypeScope="" ma:versionID="0c8d3fb5b56277b98895c2ca047d83ab">
  <xsd:schema xmlns:xsd="http://www.w3.org/2001/XMLSchema" xmlns:xs="http://www.w3.org/2001/XMLSchema" xmlns:p="http://schemas.microsoft.com/office/2006/metadata/properties" xmlns:ns3="13a60b42-673f-45d2-88b4-42453a67c5fb" xmlns:ns4="9b4f7eda-3c26-4686-b3de-af101c8c85fd" targetNamespace="http://schemas.microsoft.com/office/2006/metadata/properties" ma:root="true" ma:fieldsID="ce506a6da33f9fddd13ea3f3fd29477e" ns3:_="" ns4:_="">
    <xsd:import namespace="13a60b42-673f-45d2-88b4-42453a67c5fb"/>
    <xsd:import namespace="9b4f7eda-3c26-4686-b3de-af101c8c85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0b42-673f-45d2-88b4-42453a67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7eda-3c26-4686-b3de-af101c8c8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18A2D-1E78-4595-8AF8-58D1B75C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60b42-673f-45d2-88b4-42453a67c5fb"/>
    <ds:schemaRef ds:uri="9b4f7eda-3c26-4686-b3de-af101c8c8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9CFBB-0E7A-4AE1-A976-6D166D50E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D2709-502E-4547-AC33-E7ECEA6CE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CARSE Nicola</dc:creator>
  <cp:lastModifiedBy>Máirín Glenn</cp:lastModifiedBy>
  <cp:revision>2</cp:revision>
  <dcterms:created xsi:type="dcterms:W3CDTF">2021-03-21T17:05:00Z</dcterms:created>
  <dcterms:modified xsi:type="dcterms:W3CDTF">2021-03-21T17:05:00Z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0x010100131D42D238D3154481F750836DC1606E</vt:lpwstr>
  </property>
</Properties>
</file>